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38F" w:rsidRPr="00AF638F" w:rsidRDefault="00AF638F" w:rsidP="00AF638F">
      <w:pPr>
        <w:rPr>
          <w:rFonts w:ascii="Century Gothic" w:hAnsi="Century Gothic"/>
          <w:b/>
        </w:rPr>
      </w:pPr>
      <w:bookmarkStart w:id="0" w:name="_GoBack"/>
      <w:bookmarkEnd w:id="0"/>
      <w:r>
        <w:rPr>
          <w:rFonts w:ascii="Century Gothic" w:hAnsi="Century Gothic"/>
          <w:b/>
        </w:rPr>
        <w:t>Language Proficiency:  Status vs.</w:t>
      </w:r>
      <w:r w:rsidRPr="00AF638F">
        <w:rPr>
          <w:rFonts w:ascii="Century Gothic" w:hAnsi="Century Gothic"/>
          <w:b/>
        </w:rPr>
        <w:t xml:space="preserve"> Growth</w:t>
      </w:r>
    </w:p>
    <w:p w:rsidR="00AF638F" w:rsidRPr="00AF638F" w:rsidRDefault="00AF638F" w:rsidP="00AF638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AF638F">
        <w:rPr>
          <w:rFonts w:ascii="Century Gothic" w:hAnsi="Century Gothic"/>
          <w:b/>
        </w:rPr>
        <w:t xml:space="preserve"> Status</w:t>
      </w:r>
      <w:r w:rsidR="004C53B4">
        <w:rPr>
          <w:rFonts w:ascii="Century Gothic" w:hAnsi="Century Gothic"/>
        </w:rPr>
        <w:t xml:space="preserve"> refers to</w:t>
      </w:r>
      <w:r w:rsidRPr="00AF638F">
        <w:rPr>
          <w:rFonts w:ascii="Century Gothic" w:hAnsi="Century Gothic"/>
        </w:rPr>
        <w:t xml:space="preserve"> students’ current ranking, proficiency, capacity, or ability.</w:t>
      </w:r>
      <w:r w:rsidR="004C53B4">
        <w:rPr>
          <w:rFonts w:ascii="Century Gothic" w:hAnsi="Century Gothic"/>
        </w:rPr>
        <w:t xml:space="preserve"> </w:t>
      </w:r>
      <w:r w:rsidRPr="00AF638F">
        <w:rPr>
          <w:rFonts w:ascii="Century Gothic" w:hAnsi="Century Gothic"/>
        </w:rPr>
        <w:t xml:space="preserve"> It tells us what students know and are able to do.  Educators can use this information to tailor instruction to students’ current needs.  Looking at a student’s status, however, does not tell us the whole story. It doesn’t tell us what learning has occurred.</w:t>
      </w:r>
    </w:p>
    <w:p w:rsidR="00AF638F" w:rsidRPr="00AF638F" w:rsidRDefault="00AF638F" w:rsidP="00AF638F">
      <w:pPr>
        <w:pStyle w:val="ListParagraph"/>
        <w:rPr>
          <w:rFonts w:ascii="Century Gothic" w:hAnsi="Century Gothic"/>
        </w:rPr>
      </w:pPr>
    </w:p>
    <w:p w:rsidR="00AF638F" w:rsidRPr="00AF638F" w:rsidRDefault="00AF638F" w:rsidP="00AF638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AF638F">
        <w:rPr>
          <w:rFonts w:ascii="Century Gothic" w:hAnsi="Century Gothic"/>
        </w:rPr>
        <w:t>Examining</w:t>
      </w:r>
      <w:r w:rsidRPr="00AF638F">
        <w:rPr>
          <w:rFonts w:ascii="Century Gothic" w:hAnsi="Century Gothic"/>
          <w:b/>
        </w:rPr>
        <w:t xml:space="preserve"> growth </w:t>
      </w:r>
      <w:r w:rsidRPr="00AF638F">
        <w:rPr>
          <w:rFonts w:ascii="Century Gothic" w:hAnsi="Century Gothic"/>
        </w:rPr>
        <w:t>allows us to identify student change over time.</w:t>
      </w:r>
    </w:p>
    <w:p w:rsidR="00920A3B" w:rsidRPr="00920A3B" w:rsidRDefault="00920A3B" w:rsidP="00AF638F">
      <w:pPr>
        <w:pStyle w:val="ListParagraph"/>
        <w:rPr>
          <w:rFonts w:ascii="Century Gothic" w:hAnsi="Century Gothic"/>
          <w:sz w:val="24"/>
          <w:szCs w:val="24"/>
        </w:rPr>
      </w:pP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1998"/>
        <w:gridCol w:w="4050"/>
        <w:gridCol w:w="4230"/>
        <w:gridCol w:w="3870"/>
      </w:tblGrid>
      <w:tr w:rsidR="00AF638F" w:rsidRPr="00AF638F" w:rsidTr="00AF638F">
        <w:trPr>
          <w:trHeight w:val="684"/>
        </w:trPr>
        <w:tc>
          <w:tcPr>
            <w:tcW w:w="1998" w:type="dxa"/>
          </w:tcPr>
          <w:p w:rsidR="00CC43BD" w:rsidRPr="00AF638F" w:rsidRDefault="00CC43BD" w:rsidP="00920A3B">
            <w:pPr>
              <w:pStyle w:val="ListParagraph"/>
              <w:ind w:left="0"/>
              <w:jc w:val="center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Type of Scores</w:t>
            </w:r>
          </w:p>
        </w:tc>
        <w:tc>
          <w:tcPr>
            <w:tcW w:w="4050" w:type="dxa"/>
          </w:tcPr>
          <w:p w:rsidR="00CC43BD" w:rsidRPr="00AF638F" w:rsidRDefault="00CC43BD" w:rsidP="00920A3B">
            <w:pPr>
              <w:pStyle w:val="ListParagraph"/>
              <w:ind w:left="0"/>
              <w:jc w:val="center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Raw Scores</w:t>
            </w:r>
          </w:p>
        </w:tc>
        <w:tc>
          <w:tcPr>
            <w:tcW w:w="4230" w:type="dxa"/>
          </w:tcPr>
          <w:p w:rsidR="00CC43BD" w:rsidRPr="00AF638F" w:rsidRDefault="00CC43BD" w:rsidP="00920A3B">
            <w:pPr>
              <w:pStyle w:val="ListParagraph"/>
              <w:ind w:left="0"/>
              <w:jc w:val="center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Scale Scores</w:t>
            </w:r>
          </w:p>
        </w:tc>
        <w:tc>
          <w:tcPr>
            <w:tcW w:w="3870" w:type="dxa"/>
          </w:tcPr>
          <w:p w:rsidR="00CC43BD" w:rsidRPr="00AF638F" w:rsidRDefault="00CC43BD" w:rsidP="00920A3B">
            <w:pPr>
              <w:pStyle w:val="ListParagraph"/>
              <w:ind w:left="0"/>
              <w:jc w:val="center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Proficiency Level</w:t>
            </w:r>
            <w:r w:rsidR="00E3123F" w:rsidRPr="00AF638F">
              <w:rPr>
                <w:rFonts w:ascii="Century Gothic" w:hAnsi="Century Gothic"/>
                <w:b/>
              </w:rPr>
              <w:t>s</w:t>
            </w:r>
          </w:p>
        </w:tc>
      </w:tr>
      <w:tr w:rsidR="00AF638F" w:rsidRPr="00AF638F" w:rsidTr="00AF638F">
        <w:trPr>
          <w:trHeight w:val="1025"/>
        </w:trPr>
        <w:tc>
          <w:tcPr>
            <w:tcW w:w="1998" w:type="dxa"/>
          </w:tcPr>
          <w:p w:rsidR="00CC43BD" w:rsidRPr="00AF638F" w:rsidRDefault="00CC43BD" w:rsidP="00920A3B">
            <w:pPr>
              <w:pStyle w:val="ListParagraph"/>
              <w:ind w:left="0"/>
              <w:rPr>
                <w:rFonts w:ascii="Century Gothic" w:hAnsi="Century Gothic"/>
              </w:rPr>
            </w:pPr>
          </w:p>
          <w:p w:rsidR="00CC43BD" w:rsidRPr="00AF638F" w:rsidRDefault="00CC43BD" w:rsidP="00920A3B">
            <w:pPr>
              <w:pStyle w:val="ListParagraph"/>
              <w:ind w:left="0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Description</w:t>
            </w:r>
          </w:p>
        </w:tc>
        <w:tc>
          <w:tcPr>
            <w:tcW w:w="4050" w:type="dxa"/>
          </w:tcPr>
          <w:p w:rsidR="00CC43BD" w:rsidRPr="00AF638F" w:rsidRDefault="00CC43BD" w:rsidP="00920A3B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The number of items a student answered correctly out of the total</w:t>
            </w:r>
          </w:p>
        </w:tc>
        <w:tc>
          <w:tcPr>
            <w:tcW w:w="4230" w:type="dxa"/>
          </w:tcPr>
          <w:p w:rsidR="00CC43BD" w:rsidRPr="00AF638F" w:rsidRDefault="00CC43BD" w:rsidP="00920A3B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A mathematical transformation of a raw score</w:t>
            </w:r>
          </w:p>
        </w:tc>
        <w:tc>
          <w:tcPr>
            <w:tcW w:w="3870" w:type="dxa"/>
          </w:tcPr>
          <w:p w:rsidR="00CC43BD" w:rsidRPr="00AF638F" w:rsidRDefault="00E3123F" w:rsidP="00AF638F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Interpretation of the scale scores. Describe</w:t>
            </w:r>
            <w:r w:rsidR="00CC43BD" w:rsidRPr="00AF638F">
              <w:rPr>
                <w:rFonts w:ascii="Century Gothic" w:hAnsi="Century Gothic"/>
              </w:rPr>
              <w:t xml:space="preserve"> a student’s performance in terms of the six WIDA language proficiency</w:t>
            </w:r>
            <w:r w:rsidRPr="00AF638F">
              <w:rPr>
                <w:rFonts w:ascii="Century Gothic" w:hAnsi="Century Gothic"/>
              </w:rPr>
              <w:t xml:space="preserve"> levels.</w:t>
            </w:r>
          </w:p>
        </w:tc>
      </w:tr>
      <w:tr w:rsidR="006170A2" w:rsidRPr="00AF638F" w:rsidTr="00AF638F">
        <w:trPr>
          <w:trHeight w:val="1340"/>
        </w:trPr>
        <w:tc>
          <w:tcPr>
            <w:tcW w:w="1998" w:type="dxa"/>
          </w:tcPr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</w:rPr>
            </w:pPr>
          </w:p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Comparability</w:t>
            </w:r>
          </w:p>
        </w:tc>
        <w:tc>
          <w:tcPr>
            <w:tcW w:w="4050" w:type="dxa"/>
          </w:tcPr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Not directly comparable across grades or tiers</w:t>
            </w:r>
          </w:p>
        </w:tc>
        <w:tc>
          <w:tcPr>
            <w:tcW w:w="4230" w:type="dxa"/>
          </w:tcPr>
          <w:p w:rsidR="006170A2" w:rsidRPr="00AF638F" w:rsidRDefault="006170A2" w:rsidP="006170A2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 xml:space="preserve">May be compared across grades and tiers. Comparable </w:t>
            </w:r>
            <w:r w:rsidRPr="00AF638F">
              <w:rPr>
                <w:rFonts w:ascii="Century Gothic" w:hAnsi="Century Gothic"/>
                <w:u w:val="single"/>
              </w:rPr>
              <w:t>within</w:t>
            </w:r>
            <w:r>
              <w:rPr>
                <w:rFonts w:ascii="Century Gothic" w:hAnsi="Century Gothic"/>
              </w:rPr>
              <w:t xml:space="preserve"> language domains.</w:t>
            </w:r>
          </w:p>
        </w:tc>
        <w:tc>
          <w:tcPr>
            <w:tcW w:w="3870" w:type="dxa"/>
            <w:vMerge w:val="restart"/>
          </w:tcPr>
          <w:p w:rsidR="006170A2" w:rsidRDefault="006170A2" w:rsidP="00920A3B">
            <w:pPr>
              <w:pStyle w:val="ListParagraph"/>
              <w:ind w:left="0"/>
              <w:rPr>
                <w:rFonts w:ascii="Century Gothic" w:hAnsi="Century Gothic"/>
              </w:rPr>
            </w:pPr>
          </w:p>
          <w:p w:rsidR="006170A2" w:rsidRDefault="006170A2" w:rsidP="00920A3B">
            <w:pPr>
              <w:pStyle w:val="ListParagraph"/>
              <w:ind w:left="0"/>
              <w:rPr>
                <w:rFonts w:ascii="Century Gothic" w:hAnsi="Century Gothic"/>
              </w:rPr>
            </w:pPr>
          </w:p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 xml:space="preserve">The intervals between each value are </w:t>
            </w:r>
            <w:r w:rsidRPr="00AF638F">
              <w:rPr>
                <w:rFonts w:ascii="Century Gothic" w:hAnsi="Century Gothic"/>
                <w:u w:val="single"/>
              </w:rPr>
              <w:t>not</w:t>
            </w:r>
            <w:r w:rsidRPr="00AF638F">
              <w:rPr>
                <w:rFonts w:ascii="Century Gothic" w:hAnsi="Century Gothic"/>
              </w:rPr>
              <w:t xml:space="preserve"> equal. (The difference between 2.0</w:t>
            </w:r>
            <w:r w:rsidRPr="00AF638F">
              <w:rPr>
                <w:rFonts w:ascii="Century Gothic" w:hAnsi="Century Gothic"/>
              </w:rPr>
              <w:sym w:font="Wingdings" w:char="F0E0"/>
            </w:r>
            <w:r w:rsidRPr="00AF638F">
              <w:rPr>
                <w:rFonts w:ascii="Century Gothic" w:hAnsi="Century Gothic"/>
              </w:rPr>
              <w:t>2.4 is not the same as the interval between 4.0</w:t>
            </w:r>
            <w:r w:rsidRPr="00AF638F">
              <w:rPr>
                <w:rFonts w:ascii="Century Gothic" w:hAnsi="Century Gothic"/>
              </w:rPr>
              <w:sym w:font="Wingdings" w:char="F0E0"/>
            </w:r>
            <w:r w:rsidRPr="00AF638F">
              <w:rPr>
                <w:rFonts w:ascii="Century Gothic" w:hAnsi="Century Gothic"/>
              </w:rPr>
              <w:t>4.4.)</w:t>
            </w:r>
          </w:p>
        </w:tc>
      </w:tr>
      <w:tr w:rsidR="006170A2" w:rsidRPr="00AF638F" w:rsidTr="00AF638F">
        <w:trPr>
          <w:trHeight w:val="1097"/>
        </w:trPr>
        <w:tc>
          <w:tcPr>
            <w:tcW w:w="1998" w:type="dxa"/>
          </w:tcPr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  <w:b/>
              </w:rPr>
            </w:pPr>
          </w:p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Caution</w:t>
            </w:r>
          </w:p>
        </w:tc>
        <w:tc>
          <w:tcPr>
            <w:tcW w:w="4050" w:type="dxa"/>
          </w:tcPr>
          <w:p w:rsidR="006170A2" w:rsidRPr="00AF638F" w:rsidRDefault="006170A2" w:rsidP="00D319DF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Use with caution when planning instruction because they do not indicate the difficulty of the items.</w:t>
            </w:r>
          </w:p>
        </w:tc>
        <w:tc>
          <w:tcPr>
            <w:tcW w:w="4230" w:type="dxa"/>
          </w:tcPr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</w:rPr>
            </w:pPr>
            <w:r w:rsidRPr="006170A2">
              <w:rPr>
                <w:rFonts w:ascii="Century Gothic" w:hAnsi="Century Gothic"/>
                <w:u w:val="single"/>
              </w:rPr>
              <w:t>Not</w:t>
            </w:r>
            <w:r>
              <w:rPr>
                <w:rFonts w:ascii="Century Gothic" w:hAnsi="Century Gothic"/>
              </w:rPr>
              <w:t xml:space="preserve"> comparable </w:t>
            </w:r>
            <w:r w:rsidRPr="006170A2">
              <w:rPr>
                <w:rFonts w:ascii="Century Gothic" w:hAnsi="Century Gothic"/>
                <w:u w:val="single"/>
              </w:rPr>
              <w:t>across</w:t>
            </w:r>
            <w:r>
              <w:rPr>
                <w:rFonts w:ascii="Century Gothic" w:hAnsi="Century Gothic"/>
              </w:rPr>
              <w:t xml:space="preserve"> language domains. </w:t>
            </w:r>
            <w:r w:rsidRPr="00AF638F">
              <w:rPr>
                <w:rFonts w:ascii="Century Gothic" w:hAnsi="Century Gothic"/>
              </w:rPr>
              <w:t>(300 in Reading ≠ 300 in Listening)</w:t>
            </w:r>
          </w:p>
        </w:tc>
        <w:tc>
          <w:tcPr>
            <w:tcW w:w="3870" w:type="dxa"/>
            <w:vMerge/>
          </w:tcPr>
          <w:p w:rsidR="006170A2" w:rsidRPr="00AF638F" w:rsidRDefault="006170A2" w:rsidP="00920A3B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</w:tr>
      <w:tr w:rsidR="00BD143B" w:rsidRPr="00AF638F" w:rsidTr="00AF638F">
        <w:trPr>
          <w:trHeight w:val="169"/>
        </w:trPr>
        <w:tc>
          <w:tcPr>
            <w:tcW w:w="1998" w:type="dxa"/>
          </w:tcPr>
          <w:p w:rsidR="00BD143B" w:rsidRPr="00AF638F" w:rsidRDefault="00BC76B8" w:rsidP="00920A3B">
            <w:pPr>
              <w:pStyle w:val="ListParagraph"/>
              <w:ind w:left="0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Usefulness</w:t>
            </w:r>
          </w:p>
        </w:tc>
        <w:tc>
          <w:tcPr>
            <w:tcW w:w="4050" w:type="dxa"/>
          </w:tcPr>
          <w:p w:rsidR="00BD143B" w:rsidRPr="00AF638F" w:rsidRDefault="006B048F" w:rsidP="00920A3B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Help educators understand student performance within certain environments,</w:t>
            </w:r>
            <w:r w:rsidR="0055011C">
              <w:rPr>
                <w:rFonts w:ascii="Century Gothic" w:hAnsi="Century Gothic"/>
              </w:rPr>
              <w:t xml:space="preserve"> </w:t>
            </w:r>
            <w:proofErr w:type="spellStart"/>
            <w:r w:rsidR="0055011C">
              <w:rPr>
                <w:rFonts w:ascii="Century Gothic" w:hAnsi="Century Gothic"/>
              </w:rPr>
              <w:t>ie</w:t>
            </w:r>
            <w:proofErr w:type="spellEnd"/>
            <w:r w:rsidR="0055011C">
              <w:rPr>
                <w:rFonts w:ascii="Century Gothic" w:hAnsi="Century Gothic"/>
              </w:rPr>
              <w:t>.</w:t>
            </w:r>
            <w:r w:rsidRPr="00AF638F">
              <w:rPr>
                <w:rFonts w:ascii="Century Gothic" w:hAnsi="Century Gothic"/>
              </w:rPr>
              <w:t xml:space="preserve"> </w:t>
            </w:r>
            <w:r w:rsidR="0055011C">
              <w:rPr>
                <w:rFonts w:ascii="Century Gothic" w:hAnsi="Century Gothic"/>
              </w:rPr>
              <w:t>L</w:t>
            </w:r>
            <w:r w:rsidRPr="00AF638F">
              <w:rPr>
                <w:rFonts w:ascii="Century Gothic" w:hAnsi="Century Gothic"/>
              </w:rPr>
              <w:t xml:space="preserve">anguage of Math vs. </w:t>
            </w:r>
            <w:r w:rsidR="0055011C">
              <w:rPr>
                <w:rFonts w:ascii="Century Gothic" w:hAnsi="Century Gothic"/>
              </w:rPr>
              <w:t>L</w:t>
            </w:r>
            <w:r w:rsidRPr="00AF638F">
              <w:rPr>
                <w:rFonts w:ascii="Century Gothic" w:hAnsi="Century Gothic"/>
              </w:rPr>
              <w:t xml:space="preserve">anguage of Social Studies. </w:t>
            </w:r>
          </w:p>
        </w:tc>
        <w:tc>
          <w:tcPr>
            <w:tcW w:w="4230" w:type="dxa"/>
          </w:tcPr>
          <w:p w:rsidR="00AF638F" w:rsidRPr="00AF638F" w:rsidRDefault="00AF638F" w:rsidP="00AF638F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Comprised of a single vertical scale from kindergarten to 12</w:t>
            </w:r>
            <w:r w:rsidRPr="00AF638F">
              <w:rPr>
                <w:rFonts w:ascii="Century Gothic" w:hAnsi="Century Gothic"/>
                <w:vertAlign w:val="superscript"/>
              </w:rPr>
              <w:t>th</w:t>
            </w:r>
            <w:r w:rsidRPr="00AF638F">
              <w:rPr>
                <w:rFonts w:ascii="Century Gothic" w:hAnsi="Century Gothic"/>
              </w:rPr>
              <w:t xml:space="preserve"> grade, which make them ideal for tracking student growth.</w:t>
            </w:r>
          </w:p>
          <w:p w:rsidR="00AF638F" w:rsidRPr="00AF638F" w:rsidRDefault="00AF638F" w:rsidP="00AF638F">
            <w:pPr>
              <w:pStyle w:val="ListParagraph"/>
              <w:ind w:left="0"/>
              <w:rPr>
                <w:rFonts w:ascii="Century Gothic" w:hAnsi="Century Gothic"/>
              </w:rPr>
            </w:pPr>
          </w:p>
          <w:p w:rsidR="00BD143B" w:rsidRPr="00AF638F" w:rsidRDefault="00AF638F" w:rsidP="00AF638F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Take into account students moving across grade levels and proficiency levels.</w:t>
            </w:r>
          </w:p>
        </w:tc>
        <w:tc>
          <w:tcPr>
            <w:tcW w:w="3870" w:type="dxa"/>
          </w:tcPr>
          <w:p w:rsidR="00BD143B" w:rsidRPr="00AF638F" w:rsidRDefault="00BC76B8" w:rsidP="00920A3B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 xml:space="preserve">Can use in conjunction with the Can Do Descriptors and WIDA ELD Standards to </w:t>
            </w:r>
            <w:r w:rsidR="00E149D9">
              <w:rPr>
                <w:rFonts w:ascii="Century Gothic" w:hAnsi="Century Gothic"/>
              </w:rPr>
              <w:t xml:space="preserve">observe growth in the classroom, plan instruction, and </w:t>
            </w:r>
            <w:r w:rsidRPr="00AF638F">
              <w:rPr>
                <w:rFonts w:ascii="Century Gothic" w:hAnsi="Century Gothic"/>
              </w:rPr>
              <w:t>help students progress in their language development to the next proficiency level.</w:t>
            </w:r>
          </w:p>
        </w:tc>
      </w:tr>
      <w:tr w:rsidR="0055011C" w:rsidRPr="00AF638F" w:rsidTr="0055011C">
        <w:trPr>
          <w:trHeight w:val="169"/>
        </w:trPr>
        <w:tc>
          <w:tcPr>
            <w:tcW w:w="1998" w:type="dxa"/>
          </w:tcPr>
          <w:p w:rsidR="0055011C" w:rsidRPr="00AF638F" w:rsidRDefault="0055011C" w:rsidP="00F355A7">
            <w:pPr>
              <w:pStyle w:val="ListParagraph"/>
              <w:ind w:left="0"/>
              <w:rPr>
                <w:rFonts w:ascii="Century Gothic" w:hAnsi="Century Gothic"/>
              </w:rPr>
            </w:pPr>
          </w:p>
          <w:p w:rsidR="0055011C" w:rsidRPr="00AF638F" w:rsidRDefault="0055011C" w:rsidP="00F355A7">
            <w:pPr>
              <w:pStyle w:val="ListParagraph"/>
              <w:ind w:left="0"/>
              <w:rPr>
                <w:rFonts w:ascii="Century Gothic" w:hAnsi="Century Gothic"/>
                <w:b/>
              </w:rPr>
            </w:pPr>
            <w:r w:rsidRPr="00AF638F">
              <w:rPr>
                <w:rFonts w:ascii="Century Gothic" w:hAnsi="Century Gothic"/>
                <w:b/>
              </w:rPr>
              <w:t>Value in Tracking Growth</w:t>
            </w:r>
          </w:p>
          <w:p w:rsidR="0055011C" w:rsidRPr="00AF638F" w:rsidRDefault="0055011C" w:rsidP="00F355A7">
            <w:pPr>
              <w:pStyle w:val="ListParagraph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4050" w:type="dxa"/>
          </w:tcPr>
          <w:p w:rsidR="0055011C" w:rsidRPr="00AF638F" w:rsidRDefault="0055011C" w:rsidP="00F355A7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Least valuable type of score to monitor growth</w:t>
            </w:r>
          </w:p>
        </w:tc>
        <w:tc>
          <w:tcPr>
            <w:tcW w:w="4230" w:type="dxa"/>
          </w:tcPr>
          <w:p w:rsidR="0055011C" w:rsidRPr="00AF638F" w:rsidRDefault="0055011C" w:rsidP="00F355A7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Useful for tracking individual growth of a student over time</w:t>
            </w:r>
          </w:p>
        </w:tc>
        <w:tc>
          <w:tcPr>
            <w:tcW w:w="3870" w:type="dxa"/>
          </w:tcPr>
          <w:p w:rsidR="0055011C" w:rsidRPr="00AF638F" w:rsidRDefault="0055011C" w:rsidP="00F355A7">
            <w:pPr>
              <w:pStyle w:val="ListParagraph"/>
              <w:ind w:left="0"/>
              <w:rPr>
                <w:rFonts w:ascii="Century Gothic" w:hAnsi="Century Gothic"/>
              </w:rPr>
            </w:pPr>
            <w:r w:rsidRPr="00AF638F">
              <w:rPr>
                <w:rFonts w:ascii="Century Gothic" w:hAnsi="Century Gothic"/>
              </w:rPr>
              <w:t>Less productive than scale scores for tracking growth because of the unequal intervals across the clusters</w:t>
            </w:r>
          </w:p>
        </w:tc>
      </w:tr>
    </w:tbl>
    <w:p w:rsidR="0055011C" w:rsidRDefault="0055011C" w:rsidP="00E3123F">
      <w:pPr>
        <w:rPr>
          <w:rFonts w:ascii="Century Gothic" w:hAnsi="Century Gothic"/>
        </w:rPr>
      </w:pPr>
    </w:p>
    <w:p w:rsidR="00AF638F" w:rsidRPr="00AF638F" w:rsidRDefault="00E3123F" w:rsidP="00E3123F">
      <w:pPr>
        <w:rPr>
          <w:rFonts w:ascii="Century Gothic" w:hAnsi="Century Gothic"/>
          <w:sz w:val="20"/>
          <w:szCs w:val="20"/>
        </w:rPr>
      </w:pPr>
      <w:r w:rsidRPr="00AF638F">
        <w:rPr>
          <w:rFonts w:ascii="Century Gothic" w:hAnsi="Century Gothic"/>
          <w:sz w:val="20"/>
          <w:szCs w:val="20"/>
        </w:rPr>
        <w:t>Adapted</w:t>
      </w:r>
      <w:r w:rsidR="00FB6F70" w:rsidRPr="00AF638F">
        <w:rPr>
          <w:rFonts w:ascii="Century Gothic" w:hAnsi="Century Gothic"/>
          <w:sz w:val="20"/>
          <w:szCs w:val="20"/>
        </w:rPr>
        <w:t xml:space="preserve"> from “WIDA Focus on Language Growth,” June 2013</w:t>
      </w:r>
    </w:p>
    <w:sectPr w:rsidR="00AF638F" w:rsidRPr="00AF638F" w:rsidSect="0055011C">
      <w:pgSz w:w="15840" w:h="12240" w:orient="landscape"/>
      <w:pgMar w:top="630" w:right="720" w:bottom="81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620A"/>
    <w:multiLevelType w:val="hybridMultilevel"/>
    <w:tmpl w:val="BF800296"/>
    <w:lvl w:ilvl="0" w:tplc="D974E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F70"/>
    <w:rsid w:val="001F6951"/>
    <w:rsid w:val="004C53B4"/>
    <w:rsid w:val="004E41C1"/>
    <w:rsid w:val="0055011C"/>
    <w:rsid w:val="006170A2"/>
    <w:rsid w:val="00623002"/>
    <w:rsid w:val="006B048F"/>
    <w:rsid w:val="006C0958"/>
    <w:rsid w:val="00727CFD"/>
    <w:rsid w:val="007B4B10"/>
    <w:rsid w:val="0080043C"/>
    <w:rsid w:val="00805768"/>
    <w:rsid w:val="00920A3B"/>
    <w:rsid w:val="00AF638F"/>
    <w:rsid w:val="00BC76B8"/>
    <w:rsid w:val="00BD143B"/>
    <w:rsid w:val="00CC3FE1"/>
    <w:rsid w:val="00CC43BD"/>
    <w:rsid w:val="00D319DF"/>
    <w:rsid w:val="00E149D9"/>
    <w:rsid w:val="00E3123F"/>
    <w:rsid w:val="00EA1C4A"/>
    <w:rsid w:val="00FB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F70"/>
    <w:pPr>
      <w:ind w:left="720"/>
      <w:contextualSpacing/>
    </w:pPr>
  </w:style>
  <w:style w:type="table" w:styleId="TableGrid">
    <w:name w:val="Table Grid"/>
    <w:basedOn w:val="TableNormal"/>
    <w:uiPriority w:val="59"/>
    <w:rsid w:val="00920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F70"/>
    <w:pPr>
      <w:ind w:left="720"/>
      <w:contextualSpacing/>
    </w:pPr>
  </w:style>
  <w:style w:type="table" w:styleId="TableGrid">
    <w:name w:val="Table Grid"/>
    <w:basedOn w:val="TableNormal"/>
    <w:uiPriority w:val="59"/>
    <w:rsid w:val="00920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Stafford County Public Schools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jknight</dc:creator>
  <cp:lastModifiedBy>Owner</cp:lastModifiedBy>
  <cp:revision>2</cp:revision>
  <cp:lastPrinted>2013-09-24T13:33:00Z</cp:lastPrinted>
  <dcterms:created xsi:type="dcterms:W3CDTF">2013-10-13T02:01:00Z</dcterms:created>
  <dcterms:modified xsi:type="dcterms:W3CDTF">2013-10-13T02:01:00Z</dcterms:modified>
</cp:coreProperties>
</file>